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center"/>
        <w:tblInd w:w="0" w:type="dxa"/>
        <w:tblW w:w="10898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2245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898" w:type="dxa"/>
            <w:gridSpan w:val="10"/>
            <w:vAlign w:val="center"/>
            <w:tmTcPr id="1782447106" protected="0"/>
          </w:tcPr>
          <w:p>
            <w:pPr>
              <w:spacing/>
              <w:jc w:val="center"/>
              <w:rPr>
                <w:lang w:val="en-us" w:eastAsia="en-us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3390" cy="71882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">
                                <sm:smNativeData xmlns:sm="sm" val="SMDATA_16_Avw9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/////3////7/////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gIAAGw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-50" t="-30" r="-50" b="-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88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lang w:val="en-us" w:eastAsia="en-us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898" w:type="dxa"/>
            <w:gridSpan w:val="10"/>
            <w:vAlign w:val="center"/>
            <w:tcMar>
              <w:right w:w="946" w:type="dxa"/>
            </w:tcMar>
            <w:tmTcPr id="1782447106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tabs defTabSz="708">
                <w:tab w:val="left" w:pos="9241" w:leader="none"/>
              </w:tabs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898" w:type="dxa"/>
            <w:gridSpan w:val="10"/>
            <w:tmTcPr id="1782447106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898" w:type="dxa"/>
            <w:gridSpan w:val="10"/>
            <w:tmTcPr id="1782447106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2245" w:type="dxa"/>
            <w:vAlign w:val="center"/>
            <w:tmTcPr id="1782447106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vAlign w:val="center"/>
            <w:tcBorders>
              <w:bottom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" w:type="dxa"/>
            <w:vAlign w:val="center"/>
            <w:tmTcPr id="1782447106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vAlign w:val="center"/>
            <w:tcBorders>
              <w:bottom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bookmarkEnd w:id="1"/>
            <w:r/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529" w:type="dxa"/>
            <w:vAlign w:val="center"/>
            <w:tmTcPr id="1782447106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vAlign w:val="center"/>
            <w:tcBorders>
              <w:bottom w:val="single" w:sz="4" w:space="0" w:color="000000" tmln="10, 20, 20, 0, 0"/>
            </w:tcBorders>
            <w:tmTcPr id="1782447106" protected="0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vAlign w:val="center"/>
            <w:tmTcPr id="1782447106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vAlign w:val="center"/>
            <w:tmTcPr id="1782447106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vAlign w:val="center"/>
            <w:tcBorders>
              <w:bottom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  <w:tc>
          <w:tcPr>
            <w:tcW w:w="1710" w:type="dxa"/>
            <w:tmTcPr id="1782447106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898" w:type="dxa"/>
            <w:gridSpan w:val="10"/>
            <w:tmTcPr id="178244710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>
        <w:rPr>
          <w:b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04.12.2025 №1166 «Об утверждении муниципальной программы </w:t>
      </w:r>
      <w:r>
        <w:rPr>
          <w:b/>
          <w:sz w:val="28"/>
          <w:lang w:bidi="hi-in"/>
        </w:rPr>
        <w:t>«Развитие туризма на территории Анжеро-Судженского городского округа»</w:t>
      </w:r>
      <w:r/>
    </w:p>
    <w:p>
      <w:pPr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</w:t>
      </w:r>
      <w:r/>
      <w:bookmarkStart w:id="3" w:name="_GoBack"/>
      <w:r/>
      <w:bookmarkEnd w:id="3"/>
      <w:r/>
      <w:r>
        <w:rPr>
          <w:sz w:val="28"/>
          <w:szCs w:val="28"/>
        </w:rPr>
        <w:t>етного кодекса Российской Федерации и постановлением администрации Анжеро-Судженского городского округа от 15.07.2025 №721 «О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 (в редакции постановления от 28.08.2025 № 878), в связи с изменениями бюджетных ассигнований управления культуры администрации Анжеро-Судженского городского округа: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Анжеро-Судженского городского округа от 04.12.2025 №1166 «Об утверждении муниципальной программы </w:t>
      </w:r>
      <w:r>
        <w:rPr>
          <w:color w:val="000000"/>
          <w:sz w:val="28"/>
          <w:lang w:bidi="hi-in"/>
        </w:rPr>
        <w:t>«Развитие туризма на территории Анжеро-Судженского городского округа»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в редакции постановления от 30.01.2026 № 41)</w:t>
      </w:r>
      <w:r>
        <w:rPr>
          <w:color w:val="000000"/>
          <w:sz w:val="28"/>
          <w:szCs w:val="28"/>
        </w:rPr>
        <w:t xml:space="preserve"> следующие изменения: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6195" w:leader="none"/>
          <w:tab w:val="left" w:pos="706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Паспорт муниципальной программы «Развитие туризма на территории Анжеро-Судженского городского округа» изложить в новой редакции согласно приложению №1 к настоящему постановлению.</w:t>
      </w:r>
    </w:p>
    <w:p>
      <w:pPr>
        <w:ind w:firstLine="709"/>
        <w:spacing/>
        <w:jc w:val="both"/>
        <w:tabs defTabSz="708">
          <w:tab w:val="left" w:pos="6195" w:leader="none"/>
          <w:tab w:val="left" w:pos="706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Паспорт комплекса</w:t>
      </w:r>
      <w:r>
        <w:rPr>
          <w:color w:val="000000"/>
          <w:spacing w:val="-4" w:percent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процессных</w:t>
      </w:r>
      <w:r>
        <w:rPr>
          <w:color w:val="000000"/>
          <w:spacing w:val="-4" w:percent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 «Создание благоприятных условий для развития внутреннего туризма на территории Анжеро-Судженского городского округа» изложить в новой редакции согласно приложению №2 к настоящему постановлению.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культуры администрации Анжеро-Судженского городского округа разместить настоящее постановление в информационно-телекоммуникационной сети «Интернет» на официальных сайтах: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9" w:history="1">
        <w:r>
          <w:rPr>
            <w:rStyle w:val="char8"/>
            <w:sz w:val="28"/>
            <w:szCs w:val="28"/>
          </w:rPr>
          <w:t>http://gasu.gov.ru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Анжеро-Судженского городского округа, электронный адрес: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10" w:history="1">
        <w:r>
          <w:rPr>
            <w:rStyle w:val="char8"/>
            <w:sz w:val="28"/>
            <w:szCs w:val="28"/>
            <w:lang w:val="en-us"/>
          </w:rPr>
          <w:t>anzhero</w:t>
        </w:r>
        <w:r>
          <w:rPr>
            <w:rStyle w:val="char8"/>
            <w:sz w:val="28"/>
            <w:szCs w:val="28"/>
          </w:rPr>
          <w:t>.</w:t>
        </w:r>
        <w:r>
          <w:rPr>
            <w:rStyle w:val="char8"/>
            <w:sz w:val="28"/>
            <w:szCs w:val="28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официального опубликования.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3605530</wp:posOffset>
            </wp:positionH>
            <wp:positionV relativeFrom="page">
              <wp:posOffset>3129915</wp:posOffset>
            </wp:positionV>
            <wp:extent cx="1394460" cy="13944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Pechat"/>
                    <pic:cNvPicPr>
                      <a:picLocks noChangeAspect="1"/>
                      <a:extLst>
                        <a:ext uri="sm">
                          <sm:smNativeData xmlns:sm="sm" val="SMDATA_16_Avw9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QAAAAAIAAAAAAAAAAAAAAAQAAAAAAAAAuFgAAAQAAAAAAAABBEwAAlAgAAJQIAAABAAAALhYAAEET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Д.В. Ажичаков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type w:val="nextPage"/>
          <w:pgSz w:h="16838" w:w="11906"/>
          <w:pgMar w:left="1701" w:top="1134" w:right="567" w:bottom="1134" w:header="0" w:foot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от  25 июня 2026г. № 475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«Развитие туризма на территории Анжеро-Судженского городского округа»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5"/>
        </w:numPr>
        <w:ind w:left="720" w:hanging="360"/>
        <w:spacing/>
        <w:jc w:val="center"/>
        <w:tabs defTabSz="708">
          <w:tab w:val="left" w:pos="7273" w:leader="none"/>
        </w:tabs>
      </w:pPr>
      <w:r>
        <w:t>Основные</w:t>
      </w:r>
      <w:r>
        <w:rPr>
          <w:spacing w:val="-4" w:percent="96"/>
        </w:rPr>
        <w:t xml:space="preserve"> </w:t>
      </w:r>
      <w:r>
        <w:t>положения</w:t>
      </w:r>
    </w:p>
    <w:p>
      <w:pPr>
        <w:ind w:left="360"/>
        <w:spacing/>
        <w:jc w:val="center"/>
        <w:tabs defTabSz="708">
          <w:tab w:val="left" w:pos="7273" w:leader="none"/>
        </w:tabs>
        <w:rPr>
          <w:spacing w:val="-2" w:percent="98"/>
        </w:rPr>
      </w:pPr>
      <w:r>
        <w:rPr>
          <w:spacing w:val="-2" w:percent="98"/>
        </w:rPr>
      </w:r>
    </w:p>
    <w:tbl>
      <w:tblPr>
        <w:tblStyle w:val="NormalTable"/>
        <w:name w:val="Таблица2"/>
        <w:tabOrder w:val="0"/>
        <w:jc w:val="center"/>
        <w:tblInd w:w="0" w:type="dxa"/>
        <w:tblW w:w="1486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878"/>
        <w:gridCol w:w="6990"/>
      </w:tblGrid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/>
            <w:r>
              <w:rPr>
                <w:spacing w:val="-2" w:percent="98"/>
                <w:sz w:val="20"/>
                <w:szCs w:val="20"/>
              </w:rPr>
              <w:t>Куратор (директор) муниципальной</w:t>
            </w:r>
            <w:r>
              <w:rPr>
                <w:spacing w:val="-5" w:percent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Заместитель главы Анжеро-Судженского городского округа (</w:t>
            </w:r>
            <w:r>
              <w:rPr>
                <w:sz w:val="20"/>
                <w:szCs w:val="20"/>
              </w:rPr>
              <w:t>по социальным вопросам)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/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Управление культуры администрации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 xml:space="preserve">Анжеро-Судженского городского округа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/>
            <w:r>
              <w:rPr>
                <w:sz w:val="20"/>
                <w:szCs w:val="20"/>
              </w:rPr>
              <w:t>Период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</w:t>
            </w:r>
            <w:r>
              <w:rPr>
                <w:spacing w:val="-2" w:percent="98"/>
                <w:sz w:val="20"/>
                <w:szCs w:val="20"/>
              </w:rPr>
              <w:t xml:space="preserve"> муниципальной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2026-2030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</w:t>
            </w:r>
            <w:r>
              <w:rPr>
                <w:spacing w:val="-5" w:percent="95"/>
                <w:sz w:val="20"/>
                <w:szCs w:val="20"/>
              </w:rPr>
              <w:t xml:space="preserve"> муниципальной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69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въездного туристического потока</w:t>
            </w:r>
          </w:p>
        </w:tc>
      </w:tr>
      <w:tr>
        <w:trPr>
          <w:tblHeader w:val="0"/>
          <w:cantSplit w:val="0"/>
          <w:trHeight w:val="1516" w:hRule="atLeast"/>
        </w:trPr>
        <w:tc>
          <w:tcPr>
            <w:tcW w:w="7878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/>
            <w:r>
              <w:rPr>
                <w:sz w:val="20"/>
                <w:szCs w:val="20"/>
                <w:lang w:bidi="ru-ru"/>
              </w:rPr>
              <w:t>Связь с национальными целями, государственными программами Кемеровской области - Кузбасса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цель/наименование целевого показателя национальной цели:</w:t>
            </w:r>
          </w:p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«Достойный и эффективный труд и успешное предпринимательство» /показатель «Реальный рост экспорта несырьевых неэнергетических товаров не менее 70 процентов по сравнению с показателем 2020 года» 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 человек»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7"/>
              <w:rPr>
                <w:rFonts w:eastAsia="Times New Roman" w:cs="Times New Roman"/>
                <w:color w:val="auto"/>
                <w:sz w:val="20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lang w:eastAsia="ru-ru" w:bidi="ar-sa"/>
              </w:rPr>
              <w:t>Государственная программа Кемеровской области - Кузбасса «Развитие туризма Кузбасса» от 29 сентября 2023 года N 632.</w:t>
            </w:r>
          </w:p>
        </w:tc>
      </w:tr>
    </w:tbl>
    <w:p>
      <w:pPr>
        <w:spacing/>
        <w:jc w:val="center"/>
      </w:pPr>
      <w:r/>
    </w:p>
    <w:p>
      <w:pPr>
        <w:spacing/>
        <w:jc w:val="center"/>
        <w:rPr>
          <w:b/>
          <w:sz w:val="28"/>
          <w:szCs w:val="28"/>
        </w:rPr>
      </w:pPr>
      <w:r>
        <w:t xml:space="preserve">2. Показатели муниципальной программы «Развитие туризма на территории Анжеро-Судженского городского округа» </w:t>
      </w:r>
      <w:r>
        <w:rPr>
          <w:b/>
          <w:sz w:val="28"/>
          <w:szCs w:val="28"/>
        </w:rPr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3"/>
        <w:tabOrder w:val="0"/>
        <w:jc w:val="center"/>
        <w:tblInd w:w="0" w:type="dxa"/>
        <w:tblW w:w="14837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77"/>
        <w:gridCol w:w="1467"/>
        <w:gridCol w:w="939"/>
        <w:gridCol w:w="1099"/>
        <w:gridCol w:w="942"/>
        <w:gridCol w:w="883"/>
        <w:gridCol w:w="600"/>
        <w:gridCol w:w="651"/>
        <w:gridCol w:w="612"/>
        <w:gridCol w:w="639"/>
        <w:gridCol w:w="599"/>
        <w:gridCol w:w="694"/>
        <w:gridCol w:w="1502"/>
        <w:gridCol w:w="1505"/>
        <w:gridCol w:w="1928"/>
      </w:tblGrid>
      <w:tr>
        <w:trPr>
          <w:tblHeader w:val="0"/>
          <w:cantSplit w:val="0"/>
          <w:trHeight w:val="440" w:hRule="atLeast"/>
        </w:trPr>
        <w:tc>
          <w:tcPr>
            <w:tcW w:w="77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146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93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/>
          </w:p>
        </w:tc>
        <w:tc>
          <w:tcPr>
            <w:tcW w:w="94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(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/>
          </w:p>
        </w:tc>
        <w:tc>
          <w:tcPr>
            <w:tcW w:w="1483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3195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/>
          </w:p>
        </w:tc>
        <w:tc>
          <w:tcPr>
            <w:tcW w:w="150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Документ</w:t>
            </w:r>
            <w:r/>
          </w:p>
        </w:tc>
        <w:tc>
          <w:tcPr>
            <w:tcW w:w="150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Ответственный за достижение показателя (участник программы)</w:t>
            </w:r>
            <w:r/>
          </w:p>
        </w:tc>
        <w:tc>
          <w:tcPr>
            <w:tcW w:w="192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Связь с показателями национальных целей</w:t>
            </w:r>
            <w:r/>
          </w:p>
        </w:tc>
      </w:tr>
      <w:tr>
        <w:trPr>
          <w:tblHeader w:val="0"/>
          <w:cantSplit w:val="0"/>
          <w:trHeight w:val="590" w:hRule="atLeast"/>
        </w:trPr>
        <w:tc>
          <w:tcPr>
            <w:tcW w:w="77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46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93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09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94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8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6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год</w:t>
            </w:r>
            <w:r/>
          </w:p>
        </w:tc>
        <w:tc>
          <w:tcPr>
            <w:tcW w:w="6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2"/>
                <w:lang w:eastAsia="zh-cn"/>
              </w:rPr>
            </w:pPr>
            <w:r>
              <w:rPr>
                <w:sz w:val="20"/>
                <w:szCs w:val="20"/>
                <w:position w:val="-2"/>
                <w:lang w:eastAsia="zh-cn"/>
              </w:rPr>
              <w:t>2026</w:t>
            </w:r>
          </w:p>
        </w:tc>
        <w:tc>
          <w:tcPr>
            <w:tcW w:w="61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63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9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9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50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50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92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</w:tr>
      <w:tr>
        <w:trPr>
          <w:tblHeader w:val="0"/>
          <w:cantSplit w:val="0"/>
          <w:trHeight w:val="91" w:hRule="atLeast"/>
        </w:trPr>
        <w:tc>
          <w:tcPr>
            <w:tcW w:w="77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060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9"/>
              <w:ind w:firstLine="0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въездного туристического потока</w:t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7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146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посетителей на мероприятиях событийного туризма</w:t>
            </w:r>
          </w:p>
        </w:tc>
        <w:tc>
          <w:tcPr>
            <w:tcW w:w="93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Возрастание 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17,0</w:t>
            </w:r>
          </w:p>
        </w:tc>
        <w:tc>
          <w:tcPr>
            <w:tcW w:w="6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6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17,5</w:t>
            </w:r>
          </w:p>
        </w:tc>
        <w:tc>
          <w:tcPr>
            <w:tcW w:w="61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18,0</w:t>
            </w:r>
          </w:p>
        </w:tc>
        <w:tc>
          <w:tcPr>
            <w:tcW w:w="63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18,5</w:t>
            </w:r>
          </w:p>
        </w:tc>
        <w:tc>
          <w:tcPr>
            <w:tcW w:w="5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19,0</w:t>
            </w:r>
          </w:p>
        </w:tc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19,5</w:t>
            </w:r>
          </w:p>
        </w:tc>
        <w:tc>
          <w:tcPr>
            <w:tcW w:w="15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Стратегия социально-экономического развития Кемеровской области - Кузбасса на период до 2035 года 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Управление культуры администрации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 xml:space="preserve">Анжеро-Судженского городского округа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r>
          </w:p>
        </w:tc>
        <w:tc>
          <w:tcPr>
            <w:tcW w:w="19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«Реальный рост экспорта несырьевых неэнергетических товаров не менее 70 процентов по сравнению с показателем 2020 года» 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 человек»</w:t>
            </w:r>
          </w:p>
        </w:tc>
      </w:tr>
    </w:tbl>
    <w:p>
      <w:pPr>
        <w:spacing/>
        <w:jc w:val="both"/>
      </w:pPr>
      <w:r/>
    </w:p>
    <w:p>
      <w:pPr>
        <w:spacing/>
        <w:jc w:val="center"/>
        <w:tabs defTabSz="708">
          <w:tab w:val="left" w:pos="5670" w:leader="none"/>
        </w:tabs>
      </w:pPr>
      <w:r>
        <w:t>3. Помесячный план достижения показателей муниципального проекта в 2026 году</w:t>
      </w:r>
    </w:p>
    <w:p>
      <w:pPr>
        <w:spacing/>
        <w:jc w:val="both"/>
      </w:pPr>
      <w:r/>
    </w:p>
    <w:tbl>
      <w:tblPr>
        <w:tblStyle w:val="NormalTable"/>
        <w:name w:val="Таблица4"/>
        <w:tabOrder w:val="0"/>
        <w:jc w:val="left"/>
        <w:tblInd w:w="-289" w:type="dxa"/>
        <w:tblW w:w="14885" w:type="dxa"/>
        <w:pPr>
          <w:ind w:left="-289"/>
        </w:pPr>
        <w:tblLook w:val="0000" w:firstRow="0" w:lastRow="0" w:firstColumn="0" w:lastColumn="0" w:noHBand="0" w:noVBand="0"/>
      </w:tblPr>
      <w:tblGrid>
        <w:gridCol w:w="1022"/>
        <w:gridCol w:w="2915"/>
        <w:gridCol w:w="1210"/>
        <w:gridCol w:w="1211"/>
        <w:gridCol w:w="807"/>
        <w:gridCol w:w="806"/>
        <w:gridCol w:w="538"/>
        <w:gridCol w:w="673"/>
        <w:gridCol w:w="538"/>
        <w:gridCol w:w="538"/>
        <w:gridCol w:w="538"/>
        <w:gridCol w:w="678"/>
        <w:gridCol w:w="856"/>
        <w:gridCol w:w="780"/>
        <w:gridCol w:w="647"/>
        <w:gridCol w:w="1128"/>
      </w:tblGrid>
      <w:tr>
        <w:trPr>
          <w:tblHeader w:val="0"/>
          <w:cantSplit w:val="0"/>
          <w:trHeight w:val="334" w:hRule="atLeast"/>
        </w:trPr>
        <w:tc>
          <w:tcPr>
            <w:tcW w:w="102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291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Показатели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 программы</w:t>
            </w:r>
          </w:p>
        </w:tc>
        <w:tc>
          <w:tcPr>
            <w:tcW w:w="121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21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 измерения                     (по ОКЕИ)</w:t>
            </w:r>
            <w:r/>
          </w:p>
        </w:tc>
        <w:tc>
          <w:tcPr>
            <w:tcW w:w="7399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Плановые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значения 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месяцам</w:t>
            </w:r>
            <w:r/>
          </w:p>
        </w:tc>
        <w:tc>
          <w:tcPr>
            <w:tcW w:w="112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 конец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2026 </w:t>
            </w:r>
            <w:r>
              <w:rPr>
                <w:sz w:val="20"/>
                <w:szCs w:val="20"/>
                <w:lang w:eastAsia="zh-cn"/>
              </w:rPr>
              <w:t>года</w:t>
            </w:r>
            <w:r/>
          </w:p>
        </w:tc>
      </w:tr>
      <w:tr>
        <w:trPr>
          <w:tblHeader w:val="0"/>
          <w:cantSplit w:val="0"/>
          <w:trHeight w:val="616" w:hRule="atLeast"/>
        </w:trPr>
        <w:tc>
          <w:tcPr>
            <w:tcW w:w="102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291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21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21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8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80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7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7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112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</w:tr>
      <w:tr>
        <w:trPr>
          <w:tblHeader w:val="0"/>
          <w:cantSplit w:val="0"/>
          <w:trHeight w:val="169" w:hRule="atLeast"/>
        </w:trPr>
        <w:tc>
          <w:tcPr>
            <w:tcW w:w="10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63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9"/>
              <w:ind w:firstLine="0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въездного туристического потока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102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1.1</w:t>
            </w:r>
            <w:r/>
          </w:p>
        </w:tc>
        <w:tc>
          <w:tcPr>
            <w:tcW w:w="291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посетителей на мероприятиях событийного туризма (нарастающим итогом)</w:t>
            </w:r>
          </w:p>
        </w:tc>
        <w:tc>
          <w:tcPr>
            <w:tcW w:w="121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2,5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2,5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2,5</w:t>
            </w:r>
            <w:r/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2,5</w:t>
            </w:r>
            <w:r/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5,1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10,4</w:t>
            </w:r>
          </w:p>
        </w:tc>
        <w:tc>
          <w:tcPr>
            <w:tcW w:w="6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11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ascii="Basic Roman" w:hAnsi="Basic Roman" w:eastAsia="Basic Roman" w:cs="Basic Roman"/>
                <w:kern w:val="1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</w:rPr>
              <w:t>17,5</w:t>
            </w:r>
          </w:p>
        </w:tc>
      </w:tr>
    </w:tbl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от 25 июня 2026г. № 475</w:t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«Создание благоприятных условий для развития внутреннего туризма на территории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округа»»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contextualSpacing/>
        <w:jc w:val="center"/>
        <w:tabs defTabSz="708">
          <w:tab w:val="left" w:pos="0" w:leader="none"/>
        </w:tabs>
      </w:pPr>
      <w:r>
        <w:t>1. Общие положения</w:t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5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424"/>
        <w:gridCol w:w="7699"/>
      </w:tblGrid>
      <w:tr>
        <w:trPr>
          <w:tblHeader w:val="0"/>
          <w:cantSplit w:val="0"/>
          <w:trHeight w:val="494" w:hRule="atLeast"/>
        </w:trPr>
        <w:tc>
          <w:tcPr>
            <w:tcW w:w="74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Ответственный</w:t>
            </w:r>
            <w:r>
              <w:rPr>
                <w:spacing w:val="14" w:percent="115"/>
                <w:sz w:val="20"/>
                <w:szCs w:val="20"/>
                <w:lang w:eastAsia="zh-cn"/>
              </w:rPr>
              <w:t xml:space="preserve"> исполнитель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(соисполнитель муниципальной программы)</w:t>
            </w:r>
            <w:r/>
          </w:p>
        </w:tc>
        <w:tc>
          <w:tcPr>
            <w:tcW w:w="7699" w:type="dxa"/>
            <w:tcMar>
              <w:left w:w="0" w:type="dxa"/>
              <w:right w:w="0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Управление культуры администрации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 xml:space="preserve">Анжеро-Судженского городского округа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74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Связь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программой</w:t>
            </w:r>
            <w:r/>
          </w:p>
        </w:tc>
        <w:tc>
          <w:tcPr>
            <w:tcW w:w="76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20"/>
              <w:rPr>
                <w:rFonts w:ascii="Times New Roman" w:hAnsi="Times New Roman" w:eastAsia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lang w:eastAsia="zh-cn"/>
              </w:rPr>
              <w:t xml:space="preserve">Муниципальная программа «Развитие туризма на территории Анжеро-Судженского городского округа» </w:t>
            </w:r>
          </w:p>
        </w:tc>
      </w:tr>
    </w:tbl>
    <w:p>
      <w:pPr>
        <w:spacing/>
        <w:contextualSpacing/>
        <w:jc w:val="both"/>
        <w:tabs defTabSz="708">
          <w:tab w:val="left" w:pos="0" w:leader="none"/>
        </w:tabs>
      </w:pPr>
      <w:r/>
    </w:p>
    <w:p>
      <w:pPr>
        <w:spacing/>
        <w:jc w:val="center"/>
      </w:pPr>
      <w:r>
        <w:t>2. Показатели</w:t>
      </w:r>
      <w:r>
        <w:rPr>
          <w:spacing w:val="-3" w:percent="97"/>
        </w:rPr>
        <w:t xml:space="preserve"> </w:t>
      </w:r>
      <w:r>
        <w:t>комплекса процессных</w:t>
      </w:r>
      <w:r>
        <w:rPr>
          <w:spacing w:val="-3" w:percent="97"/>
        </w:rPr>
        <w:t xml:space="preserve"> </w:t>
      </w:r>
      <w:r>
        <w:t>мероприятий</w:t>
      </w:r>
    </w:p>
    <w:p>
      <w:pPr>
        <w:spacing/>
        <w:jc w:val="center"/>
        <w:rPr>
          <w:lang w:eastAsia="zh-cn"/>
        </w:rPr>
      </w:pPr>
      <w:r>
        <w:rPr>
          <w:lang w:eastAsia="zh-cn"/>
        </w:rPr>
      </w:r>
    </w:p>
    <w:tbl>
      <w:tblPr>
        <w:tblStyle w:val="NormalTable"/>
        <w:name w:val="Таблица6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98"/>
        <w:gridCol w:w="2056"/>
        <w:gridCol w:w="1276"/>
        <w:gridCol w:w="1426"/>
        <w:gridCol w:w="1327"/>
        <w:gridCol w:w="983"/>
        <w:gridCol w:w="855"/>
        <w:gridCol w:w="970"/>
        <w:gridCol w:w="1056"/>
        <w:gridCol w:w="978"/>
        <w:gridCol w:w="952"/>
        <w:gridCol w:w="969"/>
        <w:gridCol w:w="1677"/>
      </w:tblGrid>
      <w:tr>
        <w:trPr>
          <w:tblHeader w:val="0"/>
          <w:cantSplit w:val="0"/>
          <w:trHeight w:val="264" w:hRule="atLeast"/>
        </w:trPr>
        <w:tc>
          <w:tcPr>
            <w:tcW w:w="59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205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показателя/задачи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42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  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(по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</w:r>
          </w:p>
        </w:tc>
        <w:tc>
          <w:tcPr>
            <w:tcW w:w="4925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показателей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  <w:tc>
          <w:tcPr>
            <w:tcW w:w="167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за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достижение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9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205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27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42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32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9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  <w:r>
              <w:rPr>
                <w:sz w:val="20"/>
                <w:szCs w:val="20"/>
              </w:rPr>
            </w:r>
          </w:p>
        </w:tc>
        <w:tc>
          <w:tcPr>
            <w:tcW w:w="10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7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95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67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</w:tr>
      <w:tr>
        <w:trPr>
          <w:tblHeader w:val="0"/>
          <w:cantSplit w:val="0"/>
          <w:trHeight w:val="353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новых туристических программ, а также обновление существующих маршрутов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туристических маршрутов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Единиц 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туристического бренда и формирование положительного имиджа муниципального образования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наименований сувенирной продукции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Л.А. Жукова, директор МБУ ДО «Детская художественная школа №12»</w:t>
            </w:r>
          </w:p>
        </w:tc>
      </w:tr>
      <w:tr>
        <w:trPr>
          <w:tblHeader w:val="0"/>
          <w:cantSplit w:val="0"/>
          <w:trHeight w:val="31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Развитие туристической инфраструктуры и единого информационного пространства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знаков туристической навигации 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302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 xml:space="preserve">4. 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событийных и обменных мероприятий в сфере культуры и искусства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массовых мероприятий в рамках событийного туризма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С.В. Дамм, директор МБУК «ДК «Судженский»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Популяризация объектов культурного наследия на территории Анжеро-Судженского городского округа</w:t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мероприятий по сохранению и популяризации объектов культурного наследия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экскурсионных туров для туроператоров по объектам культурного наследия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302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размещения, отдыха и досуга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туристских объектов показа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</w:tbl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3544" w:leader="none"/>
        </w:tabs>
        <w:rPr>
          <w:color w:val="000000"/>
        </w:rPr>
      </w:pPr>
      <w:r>
        <w:rPr>
          <w:color w:val="000000"/>
        </w:rPr>
        <w:t>3. План достижения показателей комплекса процессных мероприятий в 2026 году</w:t>
      </w:r>
    </w:p>
    <w:p>
      <w:pPr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7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648"/>
        <w:gridCol w:w="2850"/>
        <w:gridCol w:w="1033"/>
        <w:gridCol w:w="1166"/>
        <w:gridCol w:w="778"/>
        <w:gridCol w:w="774"/>
        <w:gridCol w:w="518"/>
        <w:gridCol w:w="649"/>
        <w:gridCol w:w="517"/>
        <w:gridCol w:w="571"/>
        <w:gridCol w:w="512"/>
        <w:gridCol w:w="602"/>
        <w:gridCol w:w="867"/>
        <w:gridCol w:w="838"/>
        <w:gridCol w:w="708"/>
        <w:gridCol w:w="2139"/>
      </w:tblGrid>
      <w:tr>
        <w:trPr>
          <w:tblHeader/>
          <w:cantSplit w:val="0"/>
          <w:trHeight w:val="349" w:hRule="atLeast"/>
        </w:trPr>
        <w:tc>
          <w:tcPr>
            <w:tcW w:w="648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№ п/п</w:t>
            </w:r>
            <w:r/>
          </w:p>
        </w:tc>
        <w:tc>
          <w:tcPr>
            <w:tcW w:w="2850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Показатели комплекса процессных мероприятий</w:t>
            </w:r>
            <w:r/>
          </w:p>
        </w:tc>
        <w:tc>
          <w:tcPr>
            <w:tcW w:w="1033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16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(по ОКЕИ)</w:t>
            </w:r>
            <w:r/>
          </w:p>
        </w:tc>
        <w:tc>
          <w:tcPr>
            <w:tcW w:w="7334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Плановые значения по месяцам</w:t>
            </w:r>
            <w:r/>
          </w:p>
        </w:tc>
        <w:tc>
          <w:tcPr>
            <w:tcW w:w="2139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На конец (указывается год) года</w:t>
            </w:r>
            <w:r/>
          </w:p>
        </w:tc>
      </w:tr>
      <w:tr>
        <w:trPr>
          <w:tblHeader/>
          <w:cantSplit w:val="0"/>
          <w:trHeight w:val="661" w:hRule="atLeast"/>
        </w:trPr>
        <w:tc>
          <w:tcPr>
            <w:tcW w:w="648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2850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033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116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2139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/>
        </w:tc>
      </w:tr>
      <w:tr>
        <w:trPr>
          <w:tblHeader w:val="0"/>
          <w:cantSplit w:val="0"/>
          <w:trHeight w:val="309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  <w:r>
              <w:rPr>
                <w:sz w:val="20"/>
                <w:szCs w:val="20"/>
              </w:rPr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новых туристических программ, а также обновление существующих маршрутов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туристических маршрутов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</w:tr>
      <w:tr>
        <w:trPr>
          <w:tblHeader w:val="0"/>
          <w:cantSplit w:val="0"/>
          <w:trHeight w:val="2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туристического бренда и формирование положительного имиджа муниципального образования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наименований сувенирной продукции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Развитие туристической инфраструктуры и единого информационного пространства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знаков туристической навигации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>
        <w:trPr>
          <w:tblHeader w:val="0"/>
          <w:cantSplit w:val="0"/>
          <w:trHeight w:val="3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событийных и обменных мероприятий в сфере культуры и искусства</w:t>
            </w:r>
          </w:p>
        </w:tc>
      </w:tr>
      <w:tr>
        <w:trPr>
          <w:tblHeader w:val="0"/>
          <w:cantSplit w:val="0"/>
          <w:trHeight w:val="759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массовых мероприятий в рамках событийного туризма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</w:tr>
      <w:tr>
        <w:trPr>
          <w:tblHeader w:val="0"/>
          <w:cantSplit w:val="0"/>
          <w:trHeight w:val="3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Популяризация объектов культурного наследия на территории Анжеро-Судженского городского округа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мероприятий по сохранению и популяризации объектов культурного наследия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экскурсионных туров для туроператоров по объектам культурного наследия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</w:tr>
      <w:tr>
        <w:trPr>
          <w:tblHeader w:val="0"/>
          <w:cantSplit w:val="0"/>
          <w:trHeight w:val="3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размещения, отдыха и досуга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туристских объектов показа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7106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</w:tr>
    </w:tbl>
    <w:p>
      <w:pPr>
        <w:spacing/>
        <w:jc w:val="center"/>
        <w:tabs defTabSz="708">
          <w:tab w:val="left" w:pos="3544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3"/>
      <w:type w:val="nextPage"/>
      <w:pgSz w:h="11906" w:w="16838" w:orient="landscape"/>
      <w:pgMar w:left="1418" w:top="993" w:right="1134" w:bottom="1701" w:header="0" w:footer="0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DejaVu Sans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Noto Sans Devanagari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ind w:left="0" w:hanging="0"/>
      </w:pPr>
      <w:rPr>
        <w:color w:val="ff0000"/>
      </w:rPr>
    </w:lvl>
    <w:lvl w:ilvl="4">
      <w:start w:val="1"/>
      <w:numFmt w:val="decimal"/>
      <w:suff w:val="tab"/>
      <w:lvlText w:val="%1.%2.%3.%4.%5."/>
      <w:lvlJc w:val="left"/>
      <w:pPr>
        <w:ind w:left="0" w:hanging="0"/>
      </w:pPr>
      <w:rPr>
        <w:color w:val="ff0000"/>
      </w:r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  <w:rPr>
        <w:color w:val="ff0000"/>
      </w:r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  <w:rPr>
        <w:color w:val="ff0000"/>
      </w:r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  <w:rPr>
        <w:color w:val="ff0000"/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color w:val="ff0000"/>
      </w:r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4"/>
    <w:tmLastPosSelect w:val="0"/>
    <w:tmLastPosFrameIdx w:val="0"/>
    <w:tmLastPosCaret>
      <w:tmLastPosPgfIdx w:val="79"/>
      <w:tmLastPosIdx w:val="167"/>
    </w:tmLastPosCaret>
    <w:tmLastPosAnchor>
      <w:tmLastPosPgfIdx w:val="0"/>
      <w:tmLastPosIdx w:val="0"/>
    </w:tmLastPosAnchor>
    <w:tmLastPosTblRect w:left="0" w:top="0" w:right="0" w:bottom="0"/>
  </w:tmLastPos>
  <w:tmAppRevision w:date="1782447106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 w:customStyle="1">
    <w:name w:val="No Spacing1"/>
    <w:qFormat/>
    <w:rPr>
      <w:rFonts w:ascii="Times New Roman" w:hAnsi="Times New Roman" w:eastAsia="Tahoma" w:cs="Noto Sans Devanagari"/>
      <w:color w:val="000000"/>
      <w:sz w:val="24"/>
      <w:szCs w:val="24"/>
      <w:lang w:val="ru-ru" w:eastAsia="zh-cn" w:bidi="hi-in"/>
    </w:rPr>
  </w:style>
  <w:style w:type="paragraph" w:styleId="para18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paragraph" w:styleId="para19" w:customStyle="1">
    <w:name w:val="ConsPlusNormal1"/>
    <w:qFormat/>
    <w:pPr>
      <w:ind w:firstLine="720"/>
      <w:widowControl w:val="0"/>
    </w:pPr>
    <w:rPr>
      <w:rFonts w:ascii="Arial" w:hAnsi="Arial" w:eastAsia="Tahoma" w:cs="Noto Sans Devanagari"/>
      <w:color w:val="000000"/>
      <w:sz w:val="24"/>
      <w:szCs w:val="24"/>
      <w:lang w:val="ru-ru" w:eastAsia="zh-cn" w:bidi="hi-in"/>
    </w:rPr>
  </w:style>
  <w:style w:type="paragraph" w:styleId="para20" w:customStyle="1">
    <w:name w:val="ConsPlusTitle"/>
    <w:qFormat/>
    <w:pPr>
      <w:hyphenationLines w:val="1"/>
      <w:widowControl w:val="0"/>
    </w:pPr>
    <w:rPr>
      <w:rFonts w:ascii="Arial" w:hAnsi="Arial" w:eastAsia="DejaVu Sans" w:cs="Arial"/>
      <w:b/>
      <w:sz w:val="24"/>
      <w:szCs w:val="24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 w:customStyle="1">
    <w:name w:val="No Spacing1"/>
    <w:qFormat/>
    <w:rPr>
      <w:rFonts w:ascii="Times New Roman" w:hAnsi="Times New Roman" w:eastAsia="Tahoma" w:cs="Noto Sans Devanagari"/>
      <w:color w:val="000000"/>
      <w:sz w:val="24"/>
      <w:szCs w:val="24"/>
      <w:lang w:val="ru-ru" w:eastAsia="zh-cn" w:bidi="hi-in"/>
    </w:rPr>
  </w:style>
  <w:style w:type="paragraph" w:styleId="para18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paragraph" w:styleId="para19" w:customStyle="1">
    <w:name w:val="ConsPlusNormal1"/>
    <w:qFormat/>
    <w:pPr>
      <w:ind w:firstLine="720"/>
      <w:widowControl w:val="0"/>
    </w:pPr>
    <w:rPr>
      <w:rFonts w:ascii="Arial" w:hAnsi="Arial" w:eastAsia="Tahoma" w:cs="Noto Sans Devanagari"/>
      <w:color w:val="000000"/>
      <w:sz w:val="24"/>
      <w:szCs w:val="24"/>
      <w:lang w:val="ru-ru" w:eastAsia="zh-cn" w:bidi="hi-in"/>
    </w:rPr>
  </w:style>
  <w:style w:type="paragraph" w:styleId="para20" w:customStyle="1">
    <w:name w:val="ConsPlusTitle"/>
    <w:qFormat/>
    <w:pPr>
      <w:hyphenationLines w:val="1"/>
      <w:widowControl w:val="0"/>
    </w:pPr>
    <w:rPr>
      <w:rFonts w:ascii="Arial" w:hAnsi="Arial" w:eastAsia="DejaVu Sans" w:cs="Arial"/>
      <w:b/>
      <w:sz w:val="24"/>
      <w:szCs w:val="24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gasu.gov.ru/" TargetMode="External"/><Relationship Id="rId10" Type="http://schemas.openxmlformats.org/officeDocument/2006/relationships/hyperlink" Target="http://gasu.gov.ru/&quot;" TargetMode="External"/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42</cp:revision>
  <cp:lastPrinted>2026-06-25T03:06:15Z</cp:lastPrinted>
  <dcterms:created xsi:type="dcterms:W3CDTF">2026-02-02T09:45:00Z</dcterms:created>
  <dcterms:modified xsi:type="dcterms:W3CDTF">2026-06-26T04:11:46Z</dcterms:modified>
</cp:coreProperties>
</file>